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6A96F" w14:textId="1919D9F2" w:rsidR="00FC4E6F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u w:val="single" w:color="000000"/>
        </w:rPr>
      </w:pPr>
      <w:r w:rsidRPr="00AA6B3F">
        <w:rPr>
          <w:rFonts w:ascii="Arial" w:eastAsia="Arial" w:hAnsi="Arial" w:cs="Arial"/>
          <w:b/>
          <w:u w:val="single" w:color="000000"/>
        </w:rPr>
        <w:t xml:space="preserve">Załącznik nr </w:t>
      </w:r>
      <w:r w:rsidR="004C05E4">
        <w:rPr>
          <w:rFonts w:ascii="Arial" w:eastAsia="Arial" w:hAnsi="Arial" w:cs="Arial"/>
          <w:b/>
          <w:u w:val="single" w:color="000000"/>
        </w:rPr>
        <w:t>3</w:t>
      </w:r>
      <w:r w:rsidR="00AA6B3F">
        <w:rPr>
          <w:rFonts w:ascii="Arial" w:eastAsia="Arial" w:hAnsi="Arial" w:cs="Arial"/>
          <w:b/>
          <w:u w:val="single" w:color="000000"/>
        </w:rPr>
        <w:t>.0</w:t>
      </w:r>
      <w:r w:rsidRPr="00AA6B3F">
        <w:rPr>
          <w:rFonts w:ascii="Arial" w:eastAsia="Arial" w:hAnsi="Arial" w:cs="Arial"/>
          <w:b/>
          <w:u w:val="single" w:color="000000"/>
        </w:rPr>
        <w:t xml:space="preserve"> </w:t>
      </w:r>
      <w:r w:rsidR="0002384D" w:rsidRPr="00DE4F77">
        <w:rPr>
          <w:rFonts w:ascii="Arial" w:eastAsia="Arial" w:hAnsi="Arial" w:cs="Arial"/>
          <w:b/>
          <w:u w:val="single" w:color="000000"/>
        </w:rPr>
        <w:t xml:space="preserve">do Umowy nr </w:t>
      </w:r>
      <w:r w:rsidR="0002384D" w:rsidRPr="00DE4F77">
        <w:rPr>
          <w:rFonts w:ascii="Arial" w:eastAsia="Arial" w:hAnsi="Arial" w:cs="Arial"/>
          <w:b/>
          <w:highlight w:val="yellow"/>
          <w:u w:val="single" w:color="000000"/>
        </w:rPr>
        <w:t>[…]</w:t>
      </w:r>
    </w:p>
    <w:p w14:paraId="566ED819" w14:textId="5E7B0D7E" w:rsidR="00DE17FB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</w:rPr>
      </w:pPr>
      <w:r w:rsidRPr="00AA6B3F">
        <w:rPr>
          <w:rFonts w:ascii="Arial" w:eastAsia="Arial" w:hAnsi="Arial" w:cs="Arial"/>
          <w:b/>
        </w:rPr>
        <w:t>L</w:t>
      </w:r>
      <w:r w:rsidR="00DE17FB" w:rsidRPr="00AA6B3F">
        <w:rPr>
          <w:rFonts w:ascii="Arial" w:eastAsia="Arial" w:hAnsi="Arial" w:cs="Arial"/>
          <w:b/>
        </w:rPr>
        <w:t>inie komunikacyjne objęte Umową</w:t>
      </w:r>
    </w:p>
    <w:p w14:paraId="31C18AA4" w14:textId="68F096AF" w:rsidR="00C06F18" w:rsidRDefault="00C06F18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</w:rPr>
      </w:pPr>
    </w:p>
    <w:tbl>
      <w:tblPr>
        <w:tblStyle w:val="TableGrid"/>
        <w:tblW w:w="13811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4" w:type="dxa"/>
          <w:right w:w="63" w:type="dxa"/>
        </w:tblCellMar>
        <w:tblLook w:val="04A0" w:firstRow="1" w:lastRow="0" w:firstColumn="1" w:lastColumn="0" w:noHBand="0" w:noVBand="1"/>
      </w:tblPr>
      <w:tblGrid>
        <w:gridCol w:w="577"/>
        <w:gridCol w:w="1174"/>
        <w:gridCol w:w="1137"/>
        <w:gridCol w:w="1798"/>
        <w:gridCol w:w="5120"/>
        <w:gridCol w:w="4005"/>
      </w:tblGrid>
      <w:tr w:rsidR="00953960" w:rsidRPr="00AA6B3F" w14:paraId="6F7C8FF0" w14:textId="77777777" w:rsidTr="00C06F18">
        <w:trPr>
          <w:cantSplit/>
          <w:trHeight w:val="1115"/>
        </w:trPr>
        <w:tc>
          <w:tcPr>
            <w:tcW w:w="577" w:type="dxa"/>
            <w:shd w:val="clear" w:color="auto" w:fill="9CC2E5"/>
            <w:vAlign w:val="center"/>
          </w:tcPr>
          <w:p w14:paraId="402D4C15" w14:textId="77777777" w:rsidR="005A5594" w:rsidRPr="00AA6B3F" w:rsidRDefault="005A5594">
            <w:pPr>
              <w:ind w:left="140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1174" w:type="dxa"/>
            <w:shd w:val="clear" w:color="auto" w:fill="9CC2E5"/>
            <w:textDirection w:val="btLr"/>
            <w:vAlign w:val="center"/>
          </w:tcPr>
          <w:p w14:paraId="24CC88E3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Linia</w:t>
            </w:r>
          </w:p>
          <w:p w14:paraId="55AC3C56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Komunikacyjna</w:t>
            </w:r>
            <w:r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137" w:type="dxa"/>
            <w:shd w:val="clear" w:color="auto" w:fill="9CC2E5"/>
            <w:textDirection w:val="btLr"/>
            <w:vAlign w:val="center"/>
          </w:tcPr>
          <w:p w14:paraId="4B93A135" w14:textId="77777777" w:rsidR="005A5594" w:rsidRPr="00AA6B3F" w:rsidRDefault="005A5594" w:rsidP="00BE08C4">
            <w:pPr>
              <w:ind w:left="20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Nr linii kolejowej</w:t>
            </w:r>
          </w:p>
        </w:tc>
        <w:tc>
          <w:tcPr>
            <w:tcW w:w="1798" w:type="dxa"/>
            <w:shd w:val="clear" w:color="auto" w:fill="9CC2E5"/>
            <w:vAlign w:val="center"/>
          </w:tcPr>
          <w:p w14:paraId="799C52A8" w14:textId="77777777" w:rsidR="005A5594" w:rsidRPr="00AA6B3F" w:rsidRDefault="005A5594">
            <w:pPr>
              <w:ind w:left="127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Relacja/część relacji </w:t>
            </w:r>
          </w:p>
        </w:tc>
        <w:tc>
          <w:tcPr>
            <w:tcW w:w="5120" w:type="dxa"/>
            <w:shd w:val="clear" w:color="auto" w:fill="9CC2E5"/>
            <w:vAlign w:val="center"/>
          </w:tcPr>
          <w:p w14:paraId="7D1BE027" w14:textId="77777777" w:rsidR="005A5594" w:rsidRPr="00AA6B3F" w:rsidRDefault="005A5594">
            <w:pPr>
              <w:spacing w:after="39"/>
              <w:ind w:left="59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Obszar realizacji </w:t>
            </w:r>
          </w:p>
          <w:p w14:paraId="31733261" w14:textId="77777777" w:rsidR="005A5594" w:rsidRPr="00AA6B3F" w:rsidRDefault="005A559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Przewozów oraz stacje pośrednie </w:t>
            </w:r>
          </w:p>
        </w:tc>
        <w:tc>
          <w:tcPr>
            <w:tcW w:w="4005" w:type="dxa"/>
            <w:shd w:val="clear" w:color="auto" w:fill="9CC2E5"/>
            <w:vAlign w:val="center"/>
          </w:tcPr>
          <w:p w14:paraId="2B60709B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Ryzyka związane z realizacją przewozów</w:t>
            </w:r>
          </w:p>
          <w:p w14:paraId="2DCCBB15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1E721" w14:textId="77777777" w:rsidR="005A5594" w:rsidRPr="00AA6B3F" w:rsidRDefault="005A5594" w:rsidP="005250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Możliwe zmiany planowanej pracy eksploatacyjnej w trakcie realizacji Umowy</w:t>
            </w:r>
            <w:r w:rsidR="000F43BA" w:rsidRPr="00AA6B3F">
              <w:rPr>
                <w:rFonts w:ascii="Arial" w:hAnsi="Arial" w:cs="Arial"/>
                <w:b/>
                <w:sz w:val="16"/>
                <w:szCs w:val="16"/>
              </w:rPr>
              <w:t xml:space="preserve"> wskazane przez Zarządcę Infrastruktury</w:t>
            </w:r>
            <w:r w:rsidR="00DC1555"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953960" w:rsidRPr="00AA6B3F" w14:paraId="01B30720" w14:textId="77777777" w:rsidTr="00C06F18">
        <w:trPr>
          <w:trHeight w:val="1302"/>
        </w:trPr>
        <w:tc>
          <w:tcPr>
            <w:tcW w:w="577" w:type="dxa"/>
            <w:vAlign w:val="center"/>
          </w:tcPr>
          <w:p w14:paraId="0200E13A" w14:textId="10DBE208" w:rsidR="005A5594" w:rsidRPr="00AA6B3F" w:rsidRDefault="00C06F18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  <w:r w:rsidR="00EC3B7E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vAlign w:val="center"/>
          </w:tcPr>
          <w:p w14:paraId="76CD2CA2" w14:textId="77777777" w:rsidR="005A5594" w:rsidRPr="00AA6B3F" w:rsidRDefault="005A5594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RPK-02</w:t>
            </w:r>
          </w:p>
        </w:tc>
        <w:tc>
          <w:tcPr>
            <w:tcW w:w="1137" w:type="dxa"/>
            <w:vAlign w:val="center"/>
          </w:tcPr>
          <w:p w14:paraId="38363665" w14:textId="77777777" w:rsidR="005A5594" w:rsidRPr="00AA6B3F" w:rsidRDefault="005A5594" w:rsidP="00DE17FB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201, 248</w:t>
            </w:r>
          </w:p>
        </w:tc>
        <w:tc>
          <w:tcPr>
            <w:tcW w:w="1798" w:type="dxa"/>
            <w:vAlign w:val="center"/>
          </w:tcPr>
          <w:p w14:paraId="12D18EB2" w14:textId="77777777" w:rsidR="005A5594" w:rsidRPr="00AA6B3F" w:rsidRDefault="005A5594" w:rsidP="00DE17F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Gdańsk Wrzeszcz – Gdańsk Port Lotniczy – Gdańsk Osowa – Gdynia Główna</w:t>
            </w:r>
          </w:p>
        </w:tc>
        <w:tc>
          <w:tcPr>
            <w:tcW w:w="5120" w:type="dxa"/>
            <w:vAlign w:val="center"/>
          </w:tcPr>
          <w:p w14:paraId="0C5BF984" w14:textId="77777777" w:rsidR="005A5594" w:rsidRPr="00AA6B3F" w:rsidRDefault="005A5594" w:rsidP="00DE17FB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Gdańsk Wrzeszcz, Gdańsk Strzyża, Gdańsk Niedźwiednik, Gdańsk Brętowo, Gdańsk Jasień, Gdańsk Kiełpinek, Gdańsk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Matarnia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 w:rsidR="006F3835" w:rsidRPr="00AA6B3F">
              <w:rPr>
                <w:rFonts w:ascii="Arial" w:eastAsia="Arial" w:hAnsi="Arial" w:cs="Arial"/>
                <w:sz w:val="16"/>
                <w:szCs w:val="16"/>
              </w:rPr>
              <w:t xml:space="preserve">Gdańsk </w:t>
            </w:r>
            <w:proofErr w:type="spellStart"/>
            <w:r w:rsidR="006F3835" w:rsidRPr="00AA6B3F">
              <w:rPr>
                <w:rFonts w:ascii="Arial" w:eastAsia="Arial" w:hAnsi="Arial" w:cs="Arial"/>
                <w:sz w:val="16"/>
                <w:szCs w:val="16"/>
              </w:rPr>
              <w:t>Firoga</w:t>
            </w:r>
            <w:proofErr w:type="spellEnd"/>
            <w:r w:rsidR="006F3835" w:rsidRPr="00AA6B3F"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>Gdańsk Port Lotniczy, Gdańsk Rębiechowo, Gdańsk Osowa, Gdynia Karwiny, Gdynia Stadion, Gdynia Główna</w:t>
            </w:r>
          </w:p>
        </w:tc>
        <w:tc>
          <w:tcPr>
            <w:tcW w:w="4005" w:type="dxa"/>
            <w:vAlign w:val="center"/>
          </w:tcPr>
          <w:p w14:paraId="3F7FEEEE" w14:textId="77777777" w:rsidR="005A5594" w:rsidRPr="00AA6B3F" w:rsidRDefault="005A5594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Modernizacja linii kolejowej nr 201</w:t>
            </w:r>
          </w:p>
          <w:p w14:paraId="29FE0039" w14:textId="77777777" w:rsidR="005A5594" w:rsidRPr="00AA6B3F" w:rsidRDefault="005A5594" w:rsidP="00DE17FB">
            <w:pPr>
              <w:rPr>
                <w:rFonts w:ascii="Arial" w:eastAsia="Segoe UI Symbol" w:hAnsi="Arial" w:cs="Arial"/>
                <w:sz w:val="16"/>
                <w:szCs w:val="16"/>
              </w:rPr>
            </w:pPr>
          </w:p>
          <w:p w14:paraId="105B436E" w14:textId="77777777" w:rsidR="005A5594" w:rsidRPr="00AA6B3F" w:rsidRDefault="005A5594" w:rsidP="00DE17FB">
            <w:pPr>
              <w:rPr>
                <w:rFonts w:ascii="Arial" w:eastAsia="Segoe UI Symbol" w:hAnsi="Arial" w:cs="Arial"/>
                <w:sz w:val="16"/>
                <w:szCs w:val="16"/>
              </w:rPr>
            </w:pPr>
          </w:p>
          <w:p w14:paraId="183699B2" w14:textId="77777777" w:rsidR="005A5594" w:rsidRPr="00AA6B3F" w:rsidRDefault="005A5594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CB5094" w:rsidRPr="00AA6B3F" w14:paraId="7E8CA635" w14:textId="77777777" w:rsidTr="00D529FE">
        <w:trPr>
          <w:trHeight w:val="342"/>
        </w:trPr>
        <w:tc>
          <w:tcPr>
            <w:tcW w:w="577" w:type="dxa"/>
            <w:shd w:val="clear" w:color="auto" w:fill="auto"/>
            <w:vAlign w:val="center"/>
          </w:tcPr>
          <w:p w14:paraId="15D08B3F" w14:textId="4FF6FF47" w:rsidR="00CB5094" w:rsidRPr="00D529FE" w:rsidRDefault="00C06F18" w:rsidP="00CB5094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  <w:r w:rsidR="00CB5094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C7AB4E4" w14:textId="77777777" w:rsidR="00CB5094" w:rsidRPr="00D529FE" w:rsidRDefault="00CB5094" w:rsidP="00CB5094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RPK-07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A7A9A33" w14:textId="524EDEA4" w:rsidR="00022D3D" w:rsidRPr="00D529FE" w:rsidRDefault="00CB5094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202, 9, 203, </w:t>
            </w:r>
            <w:r w:rsidR="00022D3D" w:rsidRPr="00D529FE">
              <w:rPr>
                <w:rFonts w:ascii="Arial" w:eastAsia="Arial" w:hAnsi="Arial" w:cs="Arial"/>
                <w:sz w:val="16"/>
                <w:szCs w:val="16"/>
              </w:rPr>
              <w:t>727, 731, 729, 730, 260, 265.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1C7A4450" w14:textId="77777777" w:rsidR="00CB5094" w:rsidRPr="00D529FE" w:rsidRDefault="00CB5094" w:rsidP="00CB509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Gdynia Główna/Tczew – Starogard Gdański – Chojnice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199B63DE" w14:textId="77777777" w:rsidR="00CB5094" w:rsidRPr="00D529FE" w:rsidRDefault="00CB5094" w:rsidP="00CB509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Gdynia Główna, Gdynia Orłowo, Sopot, Gdańsk Oliwa, Gdańsk Wrzeszcz, Gdańsk Główny, Gdańsk Orunia, Gdańsk Lipce, Pruszcz Gdański, Cieplewo, Różyny, Skowarcz, Pszczółki, </w:t>
            </w:r>
            <w:proofErr w:type="spellStart"/>
            <w:r w:rsidRPr="00D529FE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>, Tczew, Rokitki Tczewskie, Swarożyn, Szpęgawsk, Starogard Gdański, Piesienice, Pinczyn, Zblewo, Bytonia, Kaliska, Kamienna Karczma, Czarna Woda, Łąg, Czersk, Gutowiec, Rytel Wieś, Rytel, Krojanty, Chojnice.</w:t>
            </w:r>
          </w:p>
        </w:tc>
        <w:tc>
          <w:tcPr>
            <w:tcW w:w="4005" w:type="dxa"/>
            <w:shd w:val="clear" w:color="auto" w:fill="auto"/>
            <w:vAlign w:val="center"/>
          </w:tcPr>
          <w:p w14:paraId="7952F4F7" w14:textId="77777777" w:rsidR="00CB5094" w:rsidRPr="00D529FE" w:rsidRDefault="00CB5094" w:rsidP="00CB5094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Modernizacja linii kolejowej nr 202, budowa PKM Południe, prace związane z poprawą dostępności do portów…</w:t>
            </w:r>
          </w:p>
        </w:tc>
      </w:tr>
      <w:tr w:rsidR="00CB5094" w:rsidRPr="00AA6B3F" w14:paraId="22BCE635" w14:textId="77777777" w:rsidTr="00D529FE">
        <w:trPr>
          <w:trHeight w:val="1302"/>
        </w:trPr>
        <w:tc>
          <w:tcPr>
            <w:tcW w:w="577" w:type="dxa"/>
            <w:shd w:val="clear" w:color="auto" w:fill="auto"/>
            <w:vAlign w:val="center"/>
          </w:tcPr>
          <w:p w14:paraId="74D13078" w14:textId="5435EF78" w:rsidR="00CB5094" w:rsidRPr="00D529FE" w:rsidRDefault="00C06F18" w:rsidP="00CB5094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  <w:r w:rsidR="00CB5094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183D571E" w14:textId="77777777" w:rsidR="00CB5094" w:rsidRPr="00D529FE" w:rsidRDefault="00CB5094" w:rsidP="00CB5094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RPK-08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443E68E" w14:textId="36C02D58" w:rsidR="00CB5094" w:rsidRPr="00D529FE" w:rsidRDefault="00CB5094" w:rsidP="00CB5094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201</w:t>
            </w:r>
            <w:r w:rsidR="00022D3D" w:rsidRPr="00D529FE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3BF08218" w14:textId="77777777" w:rsidR="00CB5094" w:rsidRPr="00D529FE" w:rsidRDefault="00CB5094" w:rsidP="00CB509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Kościerzyna – Gdańsk Osowa – Gdynia </w:t>
            </w:r>
            <w:bookmarkStart w:id="0" w:name="_GoBack"/>
            <w:bookmarkEnd w:id="0"/>
            <w:r w:rsidRPr="00D529FE">
              <w:rPr>
                <w:rFonts w:ascii="Arial" w:eastAsia="Arial" w:hAnsi="Arial" w:cs="Arial"/>
                <w:sz w:val="16"/>
                <w:szCs w:val="16"/>
              </w:rPr>
              <w:t>Główna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14BBA884" w14:textId="769E6DC8" w:rsidR="00CB5094" w:rsidRPr="00D529FE" w:rsidRDefault="00CB5094" w:rsidP="00CB5094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Kościerzyna, Skorzewo, Gołubie Kaszubskie, Krzeszna, Wieżyca, Sławki, Somonino, Kiełpino Kartuskie, Borkowo, Żukowo, Żukowo Wschodnie, Pępowo Kartuskie, Rębiechowo, Gdańsk Osowa, Gdynia Karwiny, Gdynia Stadion, Gdynia Główna</w:t>
            </w:r>
          </w:p>
        </w:tc>
        <w:tc>
          <w:tcPr>
            <w:tcW w:w="4005" w:type="dxa"/>
            <w:vMerge w:val="restart"/>
            <w:shd w:val="clear" w:color="auto" w:fill="auto"/>
            <w:vAlign w:val="center"/>
          </w:tcPr>
          <w:p w14:paraId="7E3C829A" w14:textId="77777777" w:rsidR="00CB5094" w:rsidRPr="00D529FE" w:rsidRDefault="00CB5094" w:rsidP="00CB5094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Modernizacja linii kolejowej nr 201, 214 i 229</w:t>
            </w:r>
          </w:p>
          <w:p w14:paraId="726B460D" w14:textId="77777777" w:rsidR="00CB5094" w:rsidRPr="00D529FE" w:rsidRDefault="00CB5094" w:rsidP="00CB5094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</w:p>
          <w:p w14:paraId="186B6785" w14:textId="77777777" w:rsidR="00CB5094" w:rsidRPr="00D529FE" w:rsidRDefault="00CB5094" w:rsidP="00CB5094">
            <w:pPr>
              <w:rPr>
                <w:rFonts w:ascii="Arial" w:eastAsia="Segoe UI Symbol" w:hAnsi="Arial" w:cs="Arial"/>
                <w:sz w:val="16"/>
                <w:szCs w:val="16"/>
              </w:rPr>
            </w:pPr>
          </w:p>
          <w:p w14:paraId="6B6F2A76" w14:textId="77777777" w:rsidR="00CB5094" w:rsidRPr="00D529FE" w:rsidRDefault="00CB5094" w:rsidP="00CB5094">
            <w:pPr>
              <w:rPr>
                <w:rFonts w:ascii="Arial" w:eastAsia="Segoe UI Symbol" w:hAnsi="Arial" w:cs="Arial"/>
                <w:sz w:val="16"/>
                <w:szCs w:val="16"/>
              </w:rPr>
            </w:pPr>
          </w:p>
        </w:tc>
      </w:tr>
      <w:tr w:rsidR="00CB5094" w:rsidRPr="00AA6B3F" w14:paraId="7908C1E7" w14:textId="77777777" w:rsidTr="00D529FE">
        <w:trPr>
          <w:trHeight w:val="1302"/>
        </w:trPr>
        <w:tc>
          <w:tcPr>
            <w:tcW w:w="577" w:type="dxa"/>
            <w:shd w:val="clear" w:color="auto" w:fill="auto"/>
            <w:vAlign w:val="center"/>
          </w:tcPr>
          <w:p w14:paraId="43D8441D" w14:textId="4C6C5CF5" w:rsidR="00CB5094" w:rsidRPr="00D529FE" w:rsidRDefault="00C06F18" w:rsidP="00CB5094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  <w:r w:rsidR="00CB5094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5AB9E39A" w14:textId="77777777" w:rsidR="00CB5094" w:rsidRPr="00D529FE" w:rsidRDefault="00CB5094" w:rsidP="00CB5094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RPK-09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85D6755" w14:textId="411E9775" w:rsidR="00CB5094" w:rsidRPr="00D529FE" w:rsidRDefault="00CB5094" w:rsidP="00CB5094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201, 202, </w:t>
            </w:r>
            <w:r w:rsidR="000A3AD7" w:rsidRPr="00D529FE">
              <w:rPr>
                <w:rFonts w:ascii="Arial" w:eastAsia="Arial" w:hAnsi="Arial" w:cs="Arial"/>
                <w:sz w:val="16"/>
                <w:szCs w:val="16"/>
              </w:rPr>
              <w:t xml:space="preserve">214, </w:t>
            </w:r>
            <w:r w:rsidRPr="00D529FE">
              <w:rPr>
                <w:rFonts w:ascii="Arial" w:eastAsia="Arial" w:hAnsi="Arial" w:cs="Arial"/>
                <w:sz w:val="16"/>
                <w:szCs w:val="16"/>
              </w:rPr>
              <w:t>248,</w:t>
            </w:r>
          </w:p>
          <w:p w14:paraId="2252004C" w14:textId="059854CD" w:rsidR="00CB5094" w:rsidRPr="00D529FE" w:rsidRDefault="00CB5094" w:rsidP="00CB5094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253</w:t>
            </w:r>
            <w:r w:rsidR="00022D3D" w:rsidRPr="00D529FE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3EE223F9" w14:textId="77777777" w:rsidR="00CB5094" w:rsidRPr="00D529FE" w:rsidRDefault="00CB5094" w:rsidP="00CB5094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Kościerzyna – Gdańsk Wrzeszcz – Gdynia Główna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48AE26D" w14:textId="10045E5A" w:rsidR="00CB5094" w:rsidRPr="00D529FE" w:rsidRDefault="00CB5094" w:rsidP="00CB5094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Kościerzyna, Skorzewo, Gołubie Kaszubskie, Krzeszna, Wieżyca, Sławki, Somonino, </w:t>
            </w:r>
            <w:r w:rsidR="000A3AD7" w:rsidRPr="00D529FE">
              <w:rPr>
                <w:rFonts w:ascii="Arial" w:eastAsia="Arial" w:hAnsi="Arial" w:cs="Arial"/>
                <w:sz w:val="16"/>
                <w:szCs w:val="16"/>
              </w:rPr>
              <w:t xml:space="preserve">Somonino </w:t>
            </w:r>
            <w:proofErr w:type="spellStart"/>
            <w:r w:rsidR="000A3AD7" w:rsidRPr="00D529FE">
              <w:rPr>
                <w:rFonts w:ascii="Arial" w:eastAsia="Arial" w:hAnsi="Arial" w:cs="Arial"/>
                <w:sz w:val="16"/>
                <w:szCs w:val="16"/>
              </w:rPr>
              <w:t>Bernardyno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, Borkowo, Żukowo, Żukowo Wschodnie, Pępowo Kartuskie, Rębiechowo, Gdańsk Rębiechowo, Gdańsk Port Lotniczy, Gdańsk </w:t>
            </w:r>
            <w:proofErr w:type="spellStart"/>
            <w:r w:rsidRPr="00D529FE">
              <w:rPr>
                <w:rFonts w:ascii="Arial" w:eastAsia="Arial" w:hAnsi="Arial" w:cs="Arial"/>
                <w:sz w:val="16"/>
                <w:szCs w:val="16"/>
              </w:rPr>
              <w:t>Firoga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, Gdańsk </w:t>
            </w:r>
            <w:proofErr w:type="spellStart"/>
            <w:r w:rsidRPr="00D529FE">
              <w:rPr>
                <w:rFonts w:ascii="Arial" w:eastAsia="Arial" w:hAnsi="Arial" w:cs="Arial"/>
                <w:sz w:val="16"/>
                <w:szCs w:val="16"/>
              </w:rPr>
              <w:t>Matarnia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>, Gdańsk Kiełpinek, Gdańsk Jasień, Gdańsk Brętowo, Gdańsk Niedźwiednik, Gdańsk Strzyża, Gdańsk Wrzeszcz, Gdańsk Oliwa, Sopot, Gdynia Orłowo, Gdynia Główna</w:t>
            </w:r>
          </w:p>
        </w:tc>
        <w:tc>
          <w:tcPr>
            <w:tcW w:w="4005" w:type="dxa"/>
            <w:vMerge/>
            <w:shd w:val="clear" w:color="auto" w:fill="auto"/>
            <w:vAlign w:val="center"/>
          </w:tcPr>
          <w:p w14:paraId="5F1D1057" w14:textId="77777777" w:rsidR="00CB5094" w:rsidRPr="00D529FE" w:rsidRDefault="00CB5094" w:rsidP="00CB5094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22D3D" w:rsidRPr="00AA6B3F" w14:paraId="3398CBDA" w14:textId="77777777" w:rsidTr="00D529FE">
        <w:trPr>
          <w:trHeight w:val="1302"/>
        </w:trPr>
        <w:tc>
          <w:tcPr>
            <w:tcW w:w="577" w:type="dxa"/>
            <w:shd w:val="clear" w:color="auto" w:fill="auto"/>
            <w:vAlign w:val="center"/>
          </w:tcPr>
          <w:p w14:paraId="01DDC1D3" w14:textId="33FC62E1" w:rsidR="00022D3D" w:rsidRPr="00D529FE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33617FEA" w14:textId="33F776C8" w:rsidR="00022D3D" w:rsidRPr="00D529FE" w:rsidRDefault="00640E4A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Linia objazdowa dla linii RPK-08 i RPK-09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E74F9B2" w14:textId="3FF9E90E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229,  234, 253.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289BE94C" w14:textId="7D761302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Kartuzy – Gdańsk Kokoszki – Gdańsk Wrzeszcz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51D4F7" w14:textId="35C432F5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Kartuzy, Dzierżążno, Żukowo Zachodnie, Otomino, Stara Piła, Leźno, Gdańsk Kokoszki, Gdańsk Kiełpinek, Gdańsk Jasień, Gdańsk Brętowo, Gdańsk Niedźwiednik, Gdańsk Strzyża, Gdańsk Wrzeszcz.</w:t>
            </w:r>
          </w:p>
        </w:tc>
        <w:tc>
          <w:tcPr>
            <w:tcW w:w="4005" w:type="dxa"/>
            <w:vMerge/>
            <w:shd w:val="clear" w:color="auto" w:fill="auto"/>
            <w:vAlign w:val="center"/>
          </w:tcPr>
          <w:p w14:paraId="5E63BEBA" w14:textId="77777777" w:rsidR="00022D3D" w:rsidRPr="00D529FE" w:rsidRDefault="00022D3D" w:rsidP="00022D3D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22D3D" w:rsidRPr="00AA6B3F" w14:paraId="513EB4D2" w14:textId="77777777" w:rsidTr="00D529FE">
        <w:trPr>
          <w:trHeight w:val="1302"/>
        </w:trPr>
        <w:tc>
          <w:tcPr>
            <w:tcW w:w="577" w:type="dxa"/>
            <w:shd w:val="clear" w:color="auto" w:fill="auto"/>
            <w:vAlign w:val="center"/>
          </w:tcPr>
          <w:p w14:paraId="6003B520" w14:textId="7160C718" w:rsidR="00022D3D" w:rsidRPr="00D529FE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6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0948705C" w14:textId="77777777" w:rsidR="00022D3D" w:rsidRPr="00D529FE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RPK-10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B0B23D5" w14:textId="716E9AD8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229, 201.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356A74E0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Kartuzy – Gdynia Główna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50128EB0" w14:textId="77777777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Kartuzy, Dzierżążno, Borkowo, Żukowo, Żukowo Wschodnie, Pępowo Kartuskie, Gdańsk Osowa, Gdynia Karwiny, Gdynia Stadion, Gdynia Główna.</w:t>
            </w:r>
          </w:p>
        </w:tc>
        <w:tc>
          <w:tcPr>
            <w:tcW w:w="4005" w:type="dxa"/>
            <w:vMerge/>
            <w:shd w:val="clear" w:color="auto" w:fill="auto"/>
            <w:vAlign w:val="center"/>
          </w:tcPr>
          <w:p w14:paraId="72F8E38E" w14:textId="77777777" w:rsidR="00022D3D" w:rsidRPr="00D529FE" w:rsidRDefault="00022D3D" w:rsidP="00022D3D">
            <w:pPr>
              <w:rPr>
                <w:rFonts w:ascii="Arial" w:eastAsia="Segoe UI Symbol" w:hAnsi="Arial" w:cs="Arial"/>
                <w:sz w:val="16"/>
                <w:szCs w:val="16"/>
              </w:rPr>
            </w:pPr>
          </w:p>
        </w:tc>
      </w:tr>
      <w:tr w:rsidR="00022D3D" w:rsidRPr="00AA6B3F" w14:paraId="278E9245" w14:textId="77777777" w:rsidTr="00D529FE">
        <w:trPr>
          <w:trHeight w:val="1302"/>
        </w:trPr>
        <w:tc>
          <w:tcPr>
            <w:tcW w:w="577" w:type="dxa"/>
            <w:shd w:val="clear" w:color="auto" w:fill="auto"/>
            <w:vAlign w:val="center"/>
          </w:tcPr>
          <w:p w14:paraId="6DABCE67" w14:textId="5E89D1E4" w:rsidR="00022D3D" w:rsidRPr="00D529FE" w:rsidRDefault="00C06F18" w:rsidP="00022D3D">
            <w:pPr>
              <w:ind w:left="140"/>
              <w:rPr>
                <w:rFonts w:ascii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7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 xml:space="preserve">. 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31A37C1" w14:textId="77777777" w:rsidR="00022D3D" w:rsidRPr="00D529FE" w:rsidRDefault="00022D3D" w:rsidP="00022D3D">
            <w:pPr>
              <w:ind w:left="61"/>
              <w:rPr>
                <w:rFonts w:ascii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RPK-11 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FD9EE82" w14:textId="3B374BBA" w:rsidR="00022D3D" w:rsidRPr="00D529FE" w:rsidRDefault="00022D3D" w:rsidP="00022D3D">
            <w:pPr>
              <w:ind w:left="66"/>
              <w:rPr>
                <w:rFonts w:ascii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229, 201, 248, 253.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769FD3C1" w14:textId="77777777" w:rsidR="00022D3D" w:rsidRPr="00D529FE" w:rsidRDefault="00022D3D" w:rsidP="00022D3D">
            <w:pPr>
              <w:rPr>
                <w:rFonts w:ascii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Kartuzy – Gdańsk Wrzeszcz 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C8B8DD8" w14:textId="77777777" w:rsidR="00022D3D" w:rsidRPr="00D529FE" w:rsidRDefault="00022D3D" w:rsidP="00022D3D">
            <w:pPr>
              <w:ind w:left="62"/>
              <w:rPr>
                <w:rFonts w:ascii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Kartuzy, Dzierżążno, Borkowo, Żukowo, Żukowo Wschodnie, Pępowo Kartuskie, Rębiechowo, Gdańsk Rębiechowo, Gdańsk Port Lotniczy, , Gdańsk </w:t>
            </w:r>
            <w:proofErr w:type="spellStart"/>
            <w:r w:rsidRPr="00D529FE">
              <w:rPr>
                <w:rFonts w:ascii="Arial" w:eastAsia="Arial" w:hAnsi="Arial" w:cs="Arial"/>
                <w:sz w:val="16"/>
                <w:szCs w:val="16"/>
              </w:rPr>
              <w:t>Firoga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, Gdańsk </w:t>
            </w:r>
            <w:proofErr w:type="spellStart"/>
            <w:r w:rsidRPr="00D529FE">
              <w:rPr>
                <w:rFonts w:ascii="Arial" w:eastAsia="Arial" w:hAnsi="Arial" w:cs="Arial"/>
                <w:sz w:val="16"/>
                <w:szCs w:val="16"/>
              </w:rPr>
              <w:t>Matarnia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>, Gdańsk Kiełpinek, Gdańsk Jasień, Gdańsk Brętowo, Gdańsk Niedźwiednik, Gdańsk Strzyża, Gdańsk Wrzeszcz</w:t>
            </w: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05" w:type="dxa"/>
            <w:vMerge/>
            <w:shd w:val="clear" w:color="auto" w:fill="auto"/>
            <w:vAlign w:val="center"/>
          </w:tcPr>
          <w:p w14:paraId="40CD85B0" w14:textId="77777777" w:rsidR="00022D3D" w:rsidRPr="00D529FE" w:rsidRDefault="00022D3D" w:rsidP="00022D3D">
            <w:pPr>
              <w:rPr>
                <w:rFonts w:ascii="Arial" w:eastAsia="Segoe UI Symbol" w:hAnsi="Arial" w:cs="Arial"/>
                <w:sz w:val="16"/>
                <w:szCs w:val="16"/>
              </w:rPr>
            </w:pPr>
          </w:p>
        </w:tc>
      </w:tr>
      <w:tr w:rsidR="00022D3D" w:rsidRPr="00AA6B3F" w14:paraId="185AEEEF" w14:textId="77777777" w:rsidTr="00D529FE">
        <w:trPr>
          <w:trHeight w:val="1019"/>
        </w:trPr>
        <w:tc>
          <w:tcPr>
            <w:tcW w:w="577" w:type="dxa"/>
            <w:shd w:val="clear" w:color="auto" w:fill="auto"/>
            <w:vAlign w:val="center"/>
          </w:tcPr>
          <w:p w14:paraId="238E3909" w14:textId="5E1A270B" w:rsidR="00022D3D" w:rsidRPr="00D529FE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8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222ECB30" w14:textId="77777777" w:rsidR="00022D3D" w:rsidRPr="00D529FE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RPK-12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835BDC3" w14:textId="5360F0C4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213, 202.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40BDCD10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Hel – Władysławowo – Reda – Gdynia Główna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4C70B5F4" w14:textId="77777777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Hel, Jurata, Jastarnia, Jastarnia Wczasy, Kuźnica (Hel), Chałupy, Władysławowo Port, Władysławowo, Swarzewo, Puck, Żelistrzewo, Mrzezino, Reda Rekowo, Reda, Rumia, Gdynia Chylonia, Gdynia Główna.</w:t>
            </w:r>
          </w:p>
        </w:tc>
        <w:tc>
          <w:tcPr>
            <w:tcW w:w="4005" w:type="dxa"/>
            <w:shd w:val="clear" w:color="auto" w:fill="auto"/>
            <w:vAlign w:val="center"/>
          </w:tcPr>
          <w:p w14:paraId="1B013500" w14:textId="77777777" w:rsidR="00022D3D" w:rsidRPr="00D529FE" w:rsidRDefault="00022D3D" w:rsidP="00022D3D">
            <w:pPr>
              <w:rPr>
                <w:rFonts w:ascii="Arial" w:eastAsia="Segoe UI Symbo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Modernizacja linii kolejowej nr 202 i modernizacja linii kolejowej nr 213.</w:t>
            </w:r>
          </w:p>
        </w:tc>
      </w:tr>
      <w:tr w:rsidR="00022D3D" w:rsidRPr="00AA6B3F" w14:paraId="7849A658" w14:textId="77777777" w:rsidTr="00D529FE">
        <w:trPr>
          <w:trHeight w:val="1019"/>
        </w:trPr>
        <w:tc>
          <w:tcPr>
            <w:tcW w:w="577" w:type="dxa"/>
            <w:shd w:val="clear" w:color="auto" w:fill="auto"/>
            <w:vAlign w:val="center"/>
          </w:tcPr>
          <w:p w14:paraId="6DC1B4E8" w14:textId="5E5F9B63" w:rsidR="00022D3D" w:rsidRPr="00D529FE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9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3B46196C" w14:textId="77777777" w:rsidR="00022D3D" w:rsidRPr="00D529FE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RPK-14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B4A28DE" w14:textId="77777777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210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370E7DF4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Chojnice – Człuchów – Czarne – (Szczecinek)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4202C10C" w14:textId="77777777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 xml:space="preserve">Chojnice, Brzeźno Człuchowskie, Człuchów, Biskupnica, Bińcze, Domisław, Czarne, Żółtnica, </w:t>
            </w:r>
            <w:proofErr w:type="spellStart"/>
            <w:r w:rsidRPr="00D529FE">
              <w:rPr>
                <w:rFonts w:ascii="Arial" w:eastAsia="Arial" w:hAnsi="Arial" w:cs="Arial"/>
                <w:sz w:val="16"/>
                <w:szCs w:val="16"/>
              </w:rPr>
              <w:t>Czarnobór</w:t>
            </w:r>
            <w:proofErr w:type="spellEnd"/>
            <w:r w:rsidRPr="00D529FE">
              <w:rPr>
                <w:rFonts w:ascii="Arial" w:eastAsia="Arial" w:hAnsi="Arial" w:cs="Arial"/>
                <w:sz w:val="16"/>
                <w:szCs w:val="16"/>
              </w:rPr>
              <w:t>, Szczecinek.</w:t>
            </w:r>
          </w:p>
        </w:tc>
        <w:tc>
          <w:tcPr>
            <w:tcW w:w="4005" w:type="dxa"/>
            <w:shd w:val="clear" w:color="auto" w:fill="auto"/>
            <w:vAlign w:val="center"/>
          </w:tcPr>
          <w:p w14:paraId="7EB4C72B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22D3D" w:rsidRPr="00AA6B3F" w14:paraId="017C8612" w14:textId="77777777" w:rsidTr="00D529FE">
        <w:trPr>
          <w:trHeight w:val="1019"/>
        </w:trPr>
        <w:tc>
          <w:tcPr>
            <w:tcW w:w="577" w:type="dxa"/>
            <w:shd w:val="clear" w:color="auto" w:fill="auto"/>
            <w:vAlign w:val="center"/>
          </w:tcPr>
          <w:p w14:paraId="3C7F6333" w14:textId="32E4F85A" w:rsidR="00022D3D" w:rsidRPr="00D529FE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E0D5E49" w14:textId="77777777" w:rsidR="00022D3D" w:rsidRPr="00D529FE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RPK-16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1E710A7" w14:textId="77777777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405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7876B380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(Szczecinek) - Miastko – Korzybie – Słupsk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CD137B9" w14:textId="77777777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Szczecinek, Gwda Mała, Drzonowo, Biały Bór, Słosinko, Miastko, Kawcze, Przytocko, Ciecholub, Biesowice, Kępka, Kępice, Korzybie, Wrząca Pomorska, Słonowice, Widzino, Kobylnica Słupska, Słupsk.</w:t>
            </w:r>
          </w:p>
        </w:tc>
        <w:tc>
          <w:tcPr>
            <w:tcW w:w="4005" w:type="dxa"/>
            <w:shd w:val="clear" w:color="auto" w:fill="auto"/>
            <w:vAlign w:val="center"/>
          </w:tcPr>
          <w:p w14:paraId="0153A8BA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Modernizacja stacji Słupsk.</w:t>
            </w:r>
          </w:p>
        </w:tc>
      </w:tr>
      <w:tr w:rsidR="00022D3D" w:rsidRPr="00AA6B3F" w14:paraId="5A7E4ACF" w14:textId="77777777" w:rsidTr="00D529FE">
        <w:trPr>
          <w:trHeight w:val="1019"/>
        </w:trPr>
        <w:tc>
          <w:tcPr>
            <w:tcW w:w="577" w:type="dxa"/>
            <w:shd w:val="clear" w:color="auto" w:fill="auto"/>
            <w:vAlign w:val="center"/>
          </w:tcPr>
          <w:p w14:paraId="2130113F" w14:textId="0C5A3EEF" w:rsidR="00022D3D" w:rsidRPr="00D529FE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11</w:t>
            </w:r>
            <w:r w:rsidR="00022D3D"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4C125F69" w14:textId="77777777" w:rsidR="00022D3D" w:rsidRPr="00D529FE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RPK-17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77E30F34" w14:textId="77777777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211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5CCB2E22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Chojnice – Lipusz - Kościerzyna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9B5AC15" w14:textId="77777777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Chojnice, Powałki, Męcikał, Żabno koło Chojnic, Brusy, Lubnia, Raduń, Dziemiany Kaszubskie, Kalisz Kaszubski, Lipuska Huta, Lipusz, Łubiana, Garczyn, Kościerzyna.</w:t>
            </w:r>
          </w:p>
        </w:tc>
        <w:tc>
          <w:tcPr>
            <w:tcW w:w="4005" w:type="dxa"/>
            <w:shd w:val="clear" w:color="auto" w:fill="auto"/>
            <w:vAlign w:val="center"/>
          </w:tcPr>
          <w:p w14:paraId="4997AABF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22D3D" w:rsidRPr="00AA6B3F" w14:paraId="41644411" w14:textId="77777777" w:rsidTr="00D529FE">
        <w:trPr>
          <w:trHeight w:val="668"/>
        </w:trPr>
        <w:tc>
          <w:tcPr>
            <w:tcW w:w="577" w:type="dxa"/>
            <w:shd w:val="clear" w:color="auto" w:fill="auto"/>
            <w:vAlign w:val="center"/>
          </w:tcPr>
          <w:p w14:paraId="3A08D6D8" w14:textId="4504F13B" w:rsidR="00022D3D" w:rsidRPr="00D529FE" w:rsidRDefault="00022D3D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  <w:r w:rsidR="00C06F18" w:rsidRPr="00D529FE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  <w:r w:rsidRPr="00D529FE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0026E8AD" w14:textId="77777777" w:rsidR="00022D3D" w:rsidRPr="00D529FE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RPK-20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FB8DDE8" w14:textId="77777777" w:rsidR="00022D3D" w:rsidRPr="00D529FE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203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2225FBCE" w14:textId="20F1D53F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Chojnice – Bukowo Człuchowskie – Pił</w:t>
            </w:r>
            <w:r w:rsidR="00640E4A" w:rsidRPr="00D529FE">
              <w:rPr>
                <w:rFonts w:ascii="Arial" w:eastAsia="Arial" w:hAnsi="Arial" w:cs="Arial"/>
                <w:sz w:val="16"/>
                <w:szCs w:val="16"/>
              </w:rPr>
              <w:t>a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2639CCB4" w14:textId="5BDF855B" w:rsidR="00022D3D" w:rsidRPr="00D529FE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D529FE">
              <w:rPr>
                <w:rFonts w:ascii="Arial" w:eastAsia="Arial" w:hAnsi="Arial" w:cs="Arial"/>
                <w:sz w:val="16"/>
                <w:szCs w:val="16"/>
              </w:rPr>
              <w:t>Chojnice, Moszczenica Pomorska, Wierzchowo Człuchowskie, Bukowo Człuchowskie, Lipka Krajeńska, Zakrzewo Złotowskie, Złotów, Krajenka, Dolnik, Skórka, Piła Podlasie, Piła Główna</w:t>
            </w:r>
            <w:r w:rsidR="00640E4A" w:rsidRPr="00D529FE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4005" w:type="dxa"/>
            <w:shd w:val="clear" w:color="auto" w:fill="auto"/>
            <w:vAlign w:val="center"/>
          </w:tcPr>
          <w:p w14:paraId="126ED814" w14:textId="77777777" w:rsidR="00022D3D" w:rsidRPr="00D529FE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22D3D" w:rsidRPr="00AA6B3F" w14:paraId="080AA101" w14:textId="77777777" w:rsidTr="00C06F18">
        <w:trPr>
          <w:trHeight w:val="1019"/>
        </w:trPr>
        <w:tc>
          <w:tcPr>
            <w:tcW w:w="577" w:type="dxa"/>
            <w:vAlign w:val="center"/>
          </w:tcPr>
          <w:p w14:paraId="3E9420FC" w14:textId="0DE6C1B8" w:rsidR="00022D3D" w:rsidRPr="00AA6B3F" w:rsidRDefault="00C06F18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13</w:t>
            </w:r>
            <w:r w:rsidR="00022D3D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vAlign w:val="center"/>
          </w:tcPr>
          <w:p w14:paraId="53C23119" w14:textId="77777777" w:rsidR="00022D3D" w:rsidRPr="00AA6B3F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RPK-21</w:t>
            </w:r>
          </w:p>
        </w:tc>
        <w:tc>
          <w:tcPr>
            <w:tcW w:w="1137" w:type="dxa"/>
            <w:vAlign w:val="center"/>
          </w:tcPr>
          <w:p w14:paraId="5BE265D8" w14:textId="49017302" w:rsidR="00022D3D" w:rsidRPr="00AA6B3F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202, 229.</w:t>
            </w:r>
          </w:p>
        </w:tc>
        <w:tc>
          <w:tcPr>
            <w:tcW w:w="1798" w:type="dxa"/>
            <w:vAlign w:val="center"/>
          </w:tcPr>
          <w:p w14:paraId="176A008A" w14:textId="77777777" w:rsidR="00022D3D" w:rsidRPr="00AA6B3F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Gdynia Główna/Lębork - Łeba</w:t>
            </w:r>
          </w:p>
        </w:tc>
        <w:tc>
          <w:tcPr>
            <w:tcW w:w="5120" w:type="dxa"/>
            <w:vAlign w:val="center"/>
          </w:tcPr>
          <w:p w14:paraId="58A36547" w14:textId="77777777" w:rsidR="00022D3D" w:rsidRPr="00AA6B3F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Gdynia Główna, Gdynia Chylonia, Rumia, Reda, Wejherowo, Gościcino Wejherowskie, Luzino, Strzebielino Morskie,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Bożepole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 Wielkie, Godętowo, Lębork Mosty, Lębork, Lębork Nowy Świat, Nowa Wieś Lęborska, Garczegorze, Lędziechowo, Wrzeście,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Steknica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Łeba.</w:t>
            </w:r>
          </w:p>
        </w:tc>
        <w:tc>
          <w:tcPr>
            <w:tcW w:w="4005" w:type="dxa"/>
            <w:vAlign w:val="center"/>
          </w:tcPr>
          <w:p w14:paraId="0F714903" w14:textId="77777777" w:rsidR="00022D3D" w:rsidRPr="00AA6B3F" w:rsidRDefault="00022D3D" w:rsidP="00022D3D">
            <w:pPr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Modernizacja linii kolejowej nr 202.</w:t>
            </w:r>
          </w:p>
        </w:tc>
      </w:tr>
    </w:tbl>
    <w:p w14:paraId="46C1711F" w14:textId="0F9AF98A" w:rsidR="00810BD8" w:rsidRPr="00AA6B3F" w:rsidRDefault="00810BD8" w:rsidP="00E46DE7">
      <w:pPr>
        <w:spacing w:after="241" w:line="291" w:lineRule="auto"/>
        <w:rPr>
          <w:rFonts w:ascii="Arial" w:hAnsi="Arial" w:cs="Arial"/>
        </w:rPr>
      </w:pPr>
    </w:p>
    <w:sectPr w:rsidR="00810BD8" w:rsidRPr="00AA6B3F" w:rsidSect="00DE17FB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2FBAC" w14:textId="77777777" w:rsidR="00025A79" w:rsidRDefault="00025A79" w:rsidP="0028597D">
      <w:pPr>
        <w:spacing w:after="0" w:line="240" w:lineRule="auto"/>
      </w:pPr>
      <w:r>
        <w:separator/>
      </w:r>
    </w:p>
  </w:endnote>
  <w:endnote w:type="continuationSeparator" w:id="0">
    <w:p w14:paraId="78AE6962" w14:textId="77777777" w:rsidR="00025A79" w:rsidRDefault="00025A79" w:rsidP="002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80643926"/>
      <w:docPartObj>
        <w:docPartGallery w:val="Page Numbers (Bottom of Page)"/>
        <w:docPartUnique/>
      </w:docPartObj>
    </w:sdtPr>
    <w:sdtEndPr/>
    <w:sdtContent>
      <w:p w14:paraId="20EAD53A" w14:textId="4169FD25" w:rsidR="00AA6B3F" w:rsidRDefault="00AA6B3F" w:rsidP="00AA6B3F">
        <w:pPr>
          <w:pStyle w:val="Stopka"/>
          <w:jc w:val="center"/>
        </w:pPr>
        <w:r w:rsidRPr="00AA6B3F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A6B3F">
          <w:rPr>
            <w:rFonts w:ascii="Arial" w:hAnsi="Arial" w:cs="Arial"/>
            <w:sz w:val="18"/>
            <w:szCs w:val="18"/>
          </w:rPr>
          <w:instrText>PAGE    \* MERGEFORMAT</w:instrTex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AA6B3F">
          <w:rPr>
            <w:rFonts w:ascii="Arial" w:eastAsiaTheme="majorEastAsia" w:hAnsi="Arial" w:cs="Arial"/>
            <w:sz w:val="18"/>
            <w:szCs w:val="18"/>
          </w:rPr>
          <w:t>2</w:t>
        </w:r>
        <w:r w:rsidRPr="00AA6B3F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6C0E5021" w14:textId="7388B68E" w:rsidR="0028597D" w:rsidRDefault="0028597D" w:rsidP="00A755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20FC9" w14:textId="77777777" w:rsidR="00025A79" w:rsidRDefault="00025A79" w:rsidP="0028597D">
      <w:pPr>
        <w:spacing w:after="0" w:line="240" w:lineRule="auto"/>
      </w:pPr>
      <w:r>
        <w:separator/>
      </w:r>
    </w:p>
  </w:footnote>
  <w:footnote w:type="continuationSeparator" w:id="0">
    <w:p w14:paraId="2A303893" w14:textId="77777777" w:rsidR="00025A79" w:rsidRDefault="00025A79" w:rsidP="0028597D">
      <w:pPr>
        <w:spacing w:after="0" w:line="240" w:lineRule="auto"/>
      </w:pPr>
      <w:r>
        <w:continuationSeparator/>
      </w:r>
    </w:p>
  </w:footnote>
  <w:footnote w:id="1">
    <w:p w14:paraId="3199BF04" w14:textId="77777777" w:rsidR="005A5594" w:rsidRPr="00AD61BF" w:rsidRDefault="005A5594" w:rsidP="00C14B3A">
      <w:pPr>
        <w:pStyle w:val="Tekstprzypisudolnego"/>
        <w:rPr>
          <w:rFonts w:ascii="Arial" w:hAnsi="Arial" w:cs="Arial"/>
          <w:sz w:val="16"/>
          <w:szCs w:val="16"/>
        </w:rPr>
      </w:pPr>
      <w:r w:rsidRPr="00AD61B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61BF">
        <w:rPr>
          <w:rFonts w:ascii="Arial" w:hAnsi="Arial" w:cs="Arial"/>
          <w:sz w:val="16"/>
          <w:szCs w:val="16"/>
        </w:rPr>
        <w:t xml:space="preserve"> Plan Zrównoważonego Rozwoju Publicznego Transportu Zbiorowego dla Województwa Pomorskiego</w:t>
      </w:r>
    </w:p>
  </w:footnote>
  <w:footnote w:id="2">
    <w:p w14:paraId="7241C7D4" w14:textId="77777777" w:rsidR="00DC1555" w:rsidRDefault="00DC15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70A9">
        <w:rPr>
          <w:rFonts w:ascii="Arial" w:hAnsi="Arial" w:cs="Arial"/>
          <w:sz w:val="16"/>
          <w:szCs w:val="16"/>
        </w:rPr>
        <w:t>Zgodnie z Regulaminem Sieci Zarządców Infrastruktury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AAB75" w14:textId="1520D6F8" w:rsidR="00AA6B3F" w:rsidRDefault="00AA6B3F" w:rsidP="00AA6B3F">
    <w:pPr>
      <w:pStyle w:val="Nagwek"/>
      <w:jc w:val="right"/>
    </w:pPr>
    <w:r>
      <w:t>Obowiązuje od 13.12.2026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9CC4EF8-62DA-4B21-B1CD-927312CA730D}"/>
  </w:docVars>
  <w:rsids>
    <w:rsidRoot w:val="002808B1"/>
    <w:rsid w:val="00022B33"/>
    <w:rsid w:val="00022D3D"/>
    <w:rsid w:val="0002384D"/>
    <w:rsid w:val="00025A79"/>
    <w:rsid w:val="00062929"/>
    <w:rsid w:val="000A3AD7"/>
    <w:rsid w:val="000A3F28"/>
    <w:rsid w:val="000D45D8"/>
    <w:rsid w:val="000F43BA"/>
    <w:rsid w:val="000F4576"/>
    <w:rsid w:val="001D4886"/>
    <w:rsid w:val="001D5937"/>
    <w:rsid w:val="001E77E1"/>
    <w:rsid w:val="00204BE0"/>
    <w:rsid w:val="00276739"/>
    <w:rsid w:val="002808B1"/>
    <w:rsid w:val="0028597D"/>
    <w:rsid w:val="002D766C"/>
    <w:rsid w:val="00322230"/>
    <w:rsid w:val="003437B9"/>
    <w:rsid w:val="003D3729"/>
    <w:rsid w:val="00416442"/>
    <w:rsid w:val="00447875"/>
    <w:rsid w:val="004A7320"/>
    <w:rsid w:val="004C05E4"/>
    <w:rsid w:val="00511736"/>
    <w:rsid w:val="005250CF"/>
    <w:rsid w:val="00555DA8"/>
    <w:rsid w:val="00591C68"/>
    <w:rsid w:val="005A5594"/>
    <w:rsid w:val="005C78C9"/>
    <w:rsid w:val="00621030"/>
    <w:rsid w:val="00640E4A"/>
    <w:rsid w:val="006B3BA5"/>
    <w:rsid w:val="006F3835"/>
    <w:rsid w:val="007C77C9"/>
    <w:rsid w:val="007D0843"/>
    <w:rsid w:val="00806ECE"/>
    <w:rsid w:val="00810BD8"/>
    <w:rsid w:val="00870F27"/>
    <w:rsid w:val="008753BB"/>
    <w:rsid w:val="008E13F9"/>
    <w:rsid w:val="008F39BC"/>
    <w:rsid w:val="00912E52"/>
    <w:rsid w:val="00953960"/>
    <w:rsid w:val="009572A6"/>
    <w:rsid w:val="00957407"/>
    <w:rsid w:val="00974222"/>
    <w:rsid w:val="00986E50"/>
    <w:rsid w:val="009A7FDE"/>
    <w:rsid w:val="009D0E59"/>
    <w:rsid w:val="00A029A8"/>
    <w:rsid w:val="00A63771"/>
    <w:rsid w:val="00A755F1"/>
    <w:rsid w:val="00AA6B3F"/>
    <w:rsid w:val="00AD61BF"/>
    <w:rsid w:val="00B00AF3"/>
    <w:rsid w:val="00B24772"/>
    <w:rsid w:val="00BC3D9F"/>
    <w:rsid w:val="00BE08C4"/>
    <w:rsid w:val="00BE2887"/>
    <w:rsid w:val="00C06F18"/>
    <w:rsid w:val="00C14B3A"/>
    <w:rsid w:val="00C627F1"/>
    <w:rsid w:val="00CB5094"/>
    <w:rsid w:val="00D529FE"/>
    <w:rsid w:val="00D55454"/>
    <w:rsid w:val="00D62E77"/>
    <w:rsid w:val="00D770A9"/>
    <w:rsid w:val="00DC1555"/>
    <w:rsid w:val="00DE17FB"/>
    <w:rsid w:val="00E0752C"/>
    <w:rsid w:val="00E46DE7"/>
    <w:rsid w:val="00E539C6"/>
    <w:rsid w:val="00E640AF"/>
    <w:rsid w:val="00EC3B7E"/>
    <w:rsid w:val="00EE49DB"/>
    <w:rsid w:val="00EF79B5"/>
    <w:rsid w:val="00F00550"/>
    <w:rsid w:val="00F35E8F"/>
    <w:rsid w:val="00F60735"/>
    <w:rsid w:val="00FB265F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50DF21"/>
  <w15:docId w15:val="{48BA90A1-C1F8-461F-B990-08449495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97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97D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B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B3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B3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45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45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54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5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55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C4EF8-62DA-4B21-B1CD-927312CA730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10DA0D7-B010-4DB2-91E9-2BD5D297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Szymański</dc:creator>
  <cp:keywords/>
  <cp:lastModifiedBy>Wontka Paweł</cp:lastModifiedBy>
  <cp:revision>13</cp:revision>
  <cp:lastPrinted>2025-10-13T08:49:00Z</cp:lastPrinted>
  <dcterms:created xsi:type="dcterms:W3CDTF">2024-09-18T11:12:00Z</dcterms:created>
  <dcterms:modified xsi:type="dcterms:W3CDTF">2025-10-13T08:49:00Z</dcterms:modified>
</cp:coreProperties>
</file>